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74015" w14:textId="075D1D6F" w:rsidR="000947A2" w:rsidRDefault="009473A5" w:rsidP="008A13CC">
      <w:pPr>
        <w:ind w:left="-360"/>
      </w:pPr>
      <w:r>
        <w:t>E</w:t>
      </w:r>
      <w:r w:rsidR="00F776A3">
        <w:t xml:space="preserve">HS review of </w:t>
      </w:r>
      <w:r w:rsidR="00BC0F2A">
        <w:t xml:space="preserve">Institutional Animal Care and Use Committee (IACUC) </w:t>
      </w:r>
      <w:r w:rsidR="00F776A3">
        <w:t>Appendix G</w:t>
      </w:r>
      <w:r w:rsidR="00F776A3">
        <w:tab/>
      </w:r>
      <w:r w:rsidR="00BC0F2A">
        <w:t xml:space="preserve">           </w:t>
      </w:r>
    </w:p>
    <w:p w14:paraId="54B26754" w14:textId="1A22ED40" w:rsidR="004B5D4D" w:rsidRDefault="00F857B8" w:rsidP="008A13CC">
      <w:pPr>
        <w:pStyle w:val="ListParagraph"/>
        <w:numPr>
          <w:ilvl w:val="0"/>
          <w:numId w:val="1"/>
        </w:numPr>
        <w:spacing w:after="0" w:line="240" w:lineRule="auto"/>
        <w:ind w:left="-90"/>
      </w:pPr>
      <w:r>
        <w:t>When reviewing an Appendix G</w:t>
      </w:r>
      <w:r w:rsidR="009B78AA">
        <w:t>,</w:t>
      </w:r>
      <w:r>
        <w:t xml:space="preserve"> </w:t>
      </w:r>
      <w:r w:rsidR="005F5F68">
        <w:t>EHS</w:t>
      </w:r>
      <w:r>
        <w:t>’s</w:t>
      </w:r>
      <w:r w:rsidR="00C06771">
        <w:t xml:space="preserve"> pr</w:t>
      </w:r>
      <w:r w:rsidR="00BC0F2A">
        <w:t>imary concern is the safety of all personnel who may potentially be exposed to hazardous material and the appropriate disposal of the hazardous material to protect the environment.</w:t>
      </w:r>
    </w:p>
    <w:p w14:paraId="48F46B71" w14:textId="77777777" w:rsidR="000B29BD" w:rsidRDefault="000B29BD" w:rsidP="008A13CC">
      <w:pPr>
        <w:pStyle w:val="ListParagraph"/>
        <w:spacing w:after="0" w:line="240" w:lineRule="auto"/>
        <w:ind w:left="-90"/>
      </w:pPr>
    </w:p>
    <w:p w14:paraId="5B32EB8A" w14:textId="5DDF8270" w:rsidR="004B5D4D" w:rsidRDefault="009473A5" w:rsidP="008A13CC">
      <w:pPr>
        <w:pStyle w:val="ListParagraph"/>
        <w:numPr>
          <w:ilvl w:val="0"/>
          <w:numId w:val="1"/>
        </w:numPr>
        <w:spacing w:after="0" w:line="240" w:lineRule="auto"/>
        <w:ind w:left="-90"/>
      </w:pPr>
      <w:r>
        <w:t>The United States Department of Labor</w:t>
      </w:r>
      <w:r w:rsidR="008D3E8D">
        <w:t>,</w:t>
      </w:r>
      <w:r>
        <w:t xml:space="preserve"> </w:t>
      </w:r>
      <w:r w:rsidR="00033099">
        <w:t>Occupational Health Safety A</w:t>
      </w:r>
      <w:r>
        <w:t>dministration</w:t>
      </w:r>
      <w:r w:rsidR="009B78AA">
        <w:t xml:space="preserve"> (OSH</w:t>
      </w:r>
      <w:r w:rsidR="00033099">
        <w:t>A)</w:t>
      </w:r>
      <w:r w:rsidR="001C07CD">
        <w:t>,</w:t>
      </w:r>
      <w:r w:rsidR="00F857B8">
        <w:t xml:space="preserve"> </w:t>
      </w:r>
      <w:r>
        <w:t xml:space="preserve">has </w:t>
      </w:r>
      <w:r w:rsidR="00F857B8">
        <w:t xml:space="preserve">a </w:t>
      </w:r>
      <w:hyperlink r:id="rId8" w:history="1">
        <w:r w:rsidR="00F857B8" w:rsidRPr="00F857B8">
          <w:rPr>
            <w:rStyle w:val="Hyperlink"/>
          </w:rPr>
          <w:t>Hazard Communication Standard</w:t>
        </w:r>
      </w:hyperlink>
      <w:r w:rsidR="00F857B8">
        <w:t xml:space="preserve"> that </w:t>
      </w:r>
      <w:r w:rsidR="00033099">
        <w:t>requires workers be made aware of any ha</w:t>
      </w:r>
      <w:r w:rsidR="009B78AA">
        <w:t>zards associated with chemicals</w:t>
      </w:r>
      <w:r w:rsidR="00F857B8">
        <w:t xml:space="preserve"> before work begins.</w:t>
      </w:r>
    </w:p>
    <w:p w14:paraId="38BE4501" w14:textId="0D038606" w:rsidR="00033099" w:rsidRDefault="00033099" w:rsidP="008A13CC">
      <w:pPr>
        <w:spacing w:after="0" w:line="240" w:lineRule="auto"/>
        <w:ind w:left="-90"/>
      </w:pPr>
    </w:p>
    <w:p w14:paraId="601999F6" w14:textId="009AA690" w:rsidR="005E239D" w:rsidRDefault="008A13CC" w:rsidP="008A13CC">
      <w:pPr>
        <w:pStyle w:val="ListParagraph"/>
        <w:numPr>
          <w:ilvl w:val="0"/>
          <w:numId w:val="1"/>
        </w:numPr>
        <w:spacing w:after="0" w:line="240" w:lineRule="auto"/>
        <w:ind w:left="-90"/>
      </w:pPr>
      <w:hyperlink r:id="rId9" w:history="1">
        <w:r w:rsidR="005E239D" w:rsidRPr="005E239D">
          <w:rPr>
            <w:rStyle w:val="Hyperlink"/>
          </w:rPr>
          <w:t>University Policy 1005</w:t>
        </w:r>
      </w:hyperlink>
      <w:r w:rsidR="005E239D">
        <w:t xml:space="preserve"> </w:t>
      </w:r>
      <w:r w:rsidR="001C07CD">
        <w:t>–</w:t>
      </w:r>
      <w:r w:rsidR="005E239D">
        <w:t xml:space="preserve"> </w:t>
      </w:r>
      <w:r w:rsidR="001C07CD">
        <w:t>states responsibility</w:t>
      </w:r>
      <w:r w:rsidR="00F857B8">
        <w:t xml:space="preserve"> of the Principal I</w:t>
      </w:r>
      <w:r w:rsidR="005E239D">
        <w:t>nvestigator</w:t>
      </w:r>
      <w:r w:rsidR="00F857B8">
        <w:t xml:space="preserve"> (PI)</w:t>
      </w:r>
      <w:r w:rsidR="005E239D">
        <w:t xml:space="preserve"> to identify hazards</w:t>
      </w:r>
      <w:r w:rsidR="00F857B8">
        <w:t>, potential exposures</w:t>
      </w:r>
      <w:r w:rsidR="005E239D">
        <w:t xml:space="preserve"> and </w:t>
      </w:r>
      <w:r w:rsidR="001C07CD">
        <w:t xml:space="preserve">to take </w:t>
      </w:r>
      <w:r w:rsidR="005E239D">
        <w:t>all reasonable steps to mitigate such exposure as outlined in</w:t>
      </w:r>
      <w:r w:rsidR="0033237E">
        <w:t xml:space="preserve"> </w:t>
      </w:r>
      <w:hyperlink r:id="rId10" w:history="1">
        <w:r w:rsidR="0033237E" w:rsidRPr="0033237E">
          <w:rPr>
            <w:rStyle w:val="Hyperlink"/>
          </w:rPr>
          <w:t>EHS Safety and Health Guidelines for</w:t>
        </w:r>
        <w:r w:rsidR="0033237E">
          <w:rPr>
            <w:rStyle w:val="Hyperlink"/>
          </w:rPr>
          <w:t xml:space="preserve"> Educational and Research Acti</w:t>
        </w:r>
        <w:r w:rsidR="0033237E" w:rsidRPr="0033237E">
          <w:rPr>
            <w:rStyle w:val="Hyperlink"/>
          </w:rPr>
          <w:t>vities</w:t>
        </w:r>
      </w:hyperlink>
      <w:r w:rsidR="005E239D">
        <w:t xml:space="preserve">  </w:t>
      </w:r>
    </w:p>
    <w:p w14:paraId="6D35FFCE" w14:textId="77777777" w:rsidR="00F857B8" w:rsidRDefault="00F857B8" w:rsidP="008A13CC">
      <w:pPr>
        <w:pStyle w:val="ListParagraph"/>
        <w:spacing w:line="240" w:lineRule="auto"/>
        <w:ind w:left="-90"/>
      </w:pPr>
    </w:p>
    <w:p w14:paraId="78034EB4" w14:textId="5C1185FE" w:rsidR="00D75D92" w:rsidRDefault="008A13CC" w:rsidP="008A13CC">
      <w:pPr>
        <w:pStyle w:val="ListParagraph"/>
        <w:numPr>
          <w:ilvl w:val="0"/>
          <w:numId w:val="1"/>
        </w:numPr>
        <w:spacing w:after="0" w:line="240" w:lineRule="auto"/>
        <w:ind w:left="-90"/>
      </w:pPr>
      <w:hyperlink r:id="rId11" w:history="1">
        <w:r w:rsidR="00F857B8" w:rsidRPr="0033237E">
          <w:rPr>
            <w:rStyle w:val="Hyperlink"/>
          </w:rPr>
          <w:t>EHS Safety and Health Guidelines for</w:t>
        </w:r>
        <w:r w:rsidR="00F857B8">
          <w:rPr>
            <w:rStyle w:val="Hyperlink"/>
          </w:rPr>
          <w:t xml:space="preserve"> Educational and Research Acti</w:t>
        </w:r>
        <w:r w:rsidR="00F857B8" w:rsidRPr="0033237E">
          <w:rPr>
            <w:rStyle w:val="Hyperlink"/>
          </w:rPr>
          <w:t>vities</w:t>
        </w:r>
      </w:hyperlink>
      <w:r w:rsidR="006826AE">
        <w:t xml:space="preserve">  outlines the responsibility of the PI</w:t>
      </w:r>
      <w:r w:rsidR="0068064F">
        <w:t>. These</w:t>
      </w:r>
      <w:r w:rsidR="006826AE">
        <w:t xml:space="preserve"> include, but </w:t>
      </w:r>
      <w:r w:rsidR="0068064F">
        <w:t xml:space="preserve">are </w:t>
      </w:r>
      <w:r w:rsidR="006826AE">
        <w:t>not limited</w:t>
      </w:r>
      <w:r w:rsidR="0068064F">
        <w:t xml:space="preserve"> to,</w:t>
      </w:r>
      <w:r w:rsidR="006826AE">
        <w:t xml:space="preserve"> performing a preliminary risk assessment, developing standard operating procedures and providing training to all employees and students on the hazards present in the workplace.  </w:t>
      </w:r>
    </w:p>
    <w:p w14:paraId="041B4136" w14:textId="77777777" w:rsidR="00712530" w:rsidRDefault="00712530" w:rsidP="008A13CC">
      <w:pPr>
        <w:pStyle w:val="ListParagraph"/>
        <w:spacing w:line="240" w:lineRule="auto"/>
        <w:ind w:left="-90"/>
      </w:pPr>
    </w:p>
    <w:p w14:paraId="74F13254" w14:textId="77777777" w:rsidR="000C4A9F" w:rsidRPr="00F60BAB" w:rsidRDefault="000C4A9F" w:rsidP="008A13CC">
      <w:pPr>
        <w:ind w:left="-90"/>
        <w:rPr>
          <w:b/>
          <w:u w:val="single"/>
        </w:rPr>
      </w:pPr>
      <w:r w:rsidRPr="00F60BAB">
        <w:rPr>
          <w:b/>
          <w:u w:val="single"/>
        </w:rPr>
        <w:t>PROCESS:</w:t>
      </w:r>
    </w:p>
    <w:p w14:paraId="6424A5E4" w14:textId="77777777" w:rsidR="000C4A9F" w:rsidRDefault="000C4A9F" w:rsidP="008A13CC">
      <w:pPr>
        <w:pStyle w:val="ListParagraph"/>
        <w:numPr>
          <w:ilvl w:val="0"/>
          <w:numId w:val="1"/>
        </w:numPr>
        <w:spacing w:after="0" w:line="240" w:lineRule="auto"/>
        <w:ind w:left="-90"/>
      </w:pPr>
      <w:r>
        <w:t xml:space="preserve">EHS reviews groups of Appendix G’s every two weeks. </w:t>
      </w:r>
    </w:p>
    <w:p w14:paraId="6CFD12E3" w14:textId="77777777" w:rsidR="000C4A9F" w:rsidRDefault="000C4A9F" w:rsidP="008A13CC">
      <w:pPr>
        <w:spacing w:after="0" w:line="240" w:lineRule="auto"/>
        <w:ind w:left="-90"/>
      </w:pPr>
    </w:p>
    <w:p w14:paraId="43CA805B" w14:textId="77777777" w:rsidR="000C4A9F" w:rsidRDefault="000C4A9F" w:rsidP="008A13CC">
      <w:pPr>
        <w:pStyle w:val="ListParagraph"/>
        <w:numPr>
          <w:ilvl w:val="0"/>
          <w:numId w:val="1"/>
        </w:numPr>
        <w:spacing w:after="0" w:line="240" w:lineRule="auto"/>
        <w:ind w:left="-90"/>
      </w:pPr>
      <w:r>
        <w:t xml:space="preserve">Please provide as much specific information, in Appendix G, about the hazardous substance as possible to expedite the approval process </w:t>
      </w:r>
    </w:p>
    <w:p w14:paraId="4AAB007E" w14:textId="32AE0E19" w:rsidR="000C4A9F" w:rsidRPr="00790A74" w:rsidRDefault="000C4A9F" w:rsidP="008A13CC">
      <w:pPr>
        <w:pStyle w:val="ListParagraph"/>
        <w:numPr>
          <w:ilvl w:val="2"/>
          <w:numId w:val="3"/>
        </w:numPr>
        <w:spacing w:after="0" w:line="240" w:lineRule="auto"/>
        <w:ind w:left="270"/>
        <w:rPr>
          <w:b/>
        </w:rPr>
      </w:pPr>
      <w:r>
        <w:t>For assistance review the fol</w:t>
      </w:r>
      <w:r w:rsidR="00A770F5">
        <w:t xml:space="preserve">lowing documents: </w:t>
      </w:r>
      <w:hyperlink r:id="rId12" w:history="1">
        <w:r w:rsidR="00A770F5" w:rsidRPr="00A770F5">
          <w:rPr>
            <w:rStyle w:val="Hyperlink"/>
          </w:rPr>
          <w:t>EHS Flow Chart</w:t>
        </w:r>
      </w:hyperlink>
      <w:r>
        <w:t xml:space="preserve">, </w:t>
      </w:r>
      <w:hyperlink r:id="rId13" w:history="1">
        <w:r w:rsidRPr="006A13EA">
          <w:rPr>
            <w:rStyle w:val="Hyperlink"/>
          </w:rPr>
          <w:t>Chemicals in Animals Chart</w:t>
        </w:r>
      </w:hyperlink>
      <w:r>
        <w:t xml:space="preserve"> </w:t>
      </w:r>
      <w:r w:rsidRPr="00790A74">
        <w:rPr>
          <w:b/>
        </w:rPr>
        <w:t xml:space="preserve"> </w:t>
      </w:r>
    </w:p>
    <w:p w14:paraId="1D3ECF05" w14:textId="77777777" w:rsidR="000C4A9F" w:rsidRDefault="000C4A9F" w:rsidP="008A13CC">
      <w:pPr>
        <w:pStyle w:val="ListParagraph"/>
        <w:numPr>
          <w:ilvl w:val="2"/>
          <w:numId w:val="3"/>
        </w:numPr>
        <w:spacing w:after="0" w:line="240" w:lineRule="auto"/>
        <w:ind w:left="270"/>
      </w:pPr>
      <w:r>
        <w:t>Please use the newest version of Appendix G (download the most current version from the online system during submission).</w:t>
      </w:r>
    </w:p>
    <w:p w14:paraId="0D98C637" w14:textId="447C8397" w:rsidR="000C4A9F" w:rsidRDefault="000C4A9F" w:rsidP="008A13CC">
      <w:pPr>
        <w:pStyle w:val="ListParagraph"/>
        <w:numPr>
          <w:ilvl w:val="2"/>
          <w:numId w:val="3"/>
        </w:numPr>
        <w:spacing w:after="0" w:line="240" w:lineRule="auto"/>
        <w:ind w:left="270"/>
      </w:pPr>
      <w:r>
        <w:t>Enter the specific manufacturer</w:t>
      </w:r>
      <w:r w:rsidR="006A13EA">
        <w:t>’</w:t>
      </w:r>
      <w:r>
        <w:t xml:space="preserve">s name of substance (no abbreviations, codes, etc.). </w:t>
      </w:r>
    </w:p>
    <w:p w14:paraId="38F8E5D3" w14:textId="77777777" w:rsidR="000C4A9F" w:rsidRPr="006A13EA" w:rsidRDefault="000C4A9F" w:rsidP="008A13CC">
      <w:pPr>
        <w:pStyle w:val="ListParagraph"/>
        <w:numPr>
          <w:ilvl w:val="2"/>
          <w:numId w:val="3"/>
        </w:numPr>
        <w:spacing w:after="0" w:line="240" w:lineRule="auto"/>
        <w:ind w:left="270"/>
      </w:pPr>
      <w:r w:rsidRPr="006A13EA">
        <w:t>Excretion information if known.</w:t>
      </w:r>
    </w:p>
    <w:p w14:paraId="3F95B22F" w14:textId="77777777" w:rsidR="000C4A9F" w:rsidRPr="006A13EA" w:rsidRDefault="000C4A9F" w:rsidP="008A13CC">
      <w:pPr>
        <w:pStyle w:val="ListParagraph"/>
        <w:numPr>
          <w:ilvl w:val="2"/>
          <w:numId w:val="3"/>
        </w:numPr>
        <w:spacing w:after="0" w:line="240" w:lineRule="auto"/>
        <w:ind w:left="270"/>
      </w:pPr>
      <w:r w:rsidRPr="006A13EA">
        <w:t xml:space="preserve">Personal Protective Equipment (PPE) </w:t>
      </w:r>
    </w:p>
    <w:p w14:paraId="6CE18971" w14:textId="77777777" w:rsidR="000C4A9F" w:rsidRDefault="000C4A9F" w:rsidP="008A13CC">
      <w:pPr>
        <w:pStyle w:val="ListParagraph"/>
        <w:numPr>
          <w:ilvl w:val="2"/>
          <w:numId w:val="3"/>
        </w:numPr>
        <w:spacing w:after="0" w:line="240" w:lineRule="auto"/>
        <w:ind w:left="270"/>
      </w:pPr>
      <w:r w:rsidRPr="006A13EA">
        <w:t>SDS</w:t>
      </w:r>
      <w:r w:rsidRPr="002351D2">
        <w:t xml:space="preserve"> hazard classification(s) for the exact concentration/dilution you are giving the</w:t>
      </w:r>
      <w:r>
        <w:t xml:space="preserve"> animal (see Section 2 of SDS).</w:t>
      </w:r>
    </w:p>
    <w:p w14:paraId="2362A21F" w14:textId="77777777" w:rsidR="000C4A9F" w:rsidRDefault="000C4A9F" w:rsidP="008A13CC">
      <w:pPr>
        <w:pStyle w:val="ListParagraph"/>
        <w:numPr>
          <w:ilvl w:val="3"/>
          <w:numId w:val="1"/>
        </w:numPr>
        <w:spacing w:after="0" w:line="240" w:lineRule="auto"/>
        <w:ind w:left="630"/>
      </w:pPr>
      <w:r>
        <w:t>If SDS for exact concentration is not available then use information from a SDS for the closest concentration of the chemical.</w:t>
      </w:r>
    </w:p>
    <w:p w14:paraId="19F252A9" w14:textId="77777777" w:rsidR="000C4A9F" w:rsidRDefault="000C4A9F" w:rsidP="008A13CC">
      <w:pPr>
        <w:pStyle w:val="ListParagraph"/>
        <w:numPr>
          <w:ilvl w:val="1"/>
          <w:numId w:val="1"/>
        </w:numPr>
        <w:spacing w:after="0" w:line="240" w:lineRule="auto"/>
        <w:ind w:left="270"/>
      </w:pPr>
      <w:r>
        <w:t>Dosage to be administered.</w:t>
      </w:r>
    </w:p>
    <w:p w14:paraId="0059D73E" w14:textId="77777777" w:rsidR="000C4A9F" w:rsidRDefault="000C4A9F" w:rsidP="008A13CC">
      <w:pPr>
        <w:pStyle w:val="ListParagraph"/>
        <w:numPr>
          <w:ilvl w:val="1"/>
          <w:numId w:val="1"/>
        </w:numPr>
        <w:spacing w:after="0" w:line="240" w:lineRule="auto"/>
        <w:ind w:left="270"/>
      </w:pPr>
      <w:r>
        <w:t xml:space="preserve">Please review the most recent SDS so you place the substance in the correct section of Appendix G. </w:t>
      </w:r>
    </w:p>
    <w:p w14:paraId="11A321B2" w14:textId="77777777" w:rsidR="000C4A9F" w:rsidRDefault="000C4A9F" w:rsidP="008A13CC">
      <w:pPr>
        <w:pStyle w:val="ListParagraph"/>
        <w:numPr>
          <w:ilvl w:val="1"/>
          <w:numId w:val="1"/>
        </w:numPr>
        <w:spacing w:after="0" w:line="240" w:lineRule="auto"/>
        <w:ind w:left="270"/>
      </w:pPr>
      <w:r>
        <w:t>Some q</w:t>
      </w:r>
      <w:r w:rsidRPr="008C7D6F">
        <w:t>uest</w:t>
      </w:r>
      <w:r>
        <w:t>ions in Appendix G are</w:t>
      </w:r>
      <w:r w:rsidRPr="008C7D6F">
        <w:t xml:space="preserve"> applicable for work with small lab animals (rodents)</w:t>
      </w:r>
      <w:r>
        <w:t>.</w:t>
      </w:r>
    </w:p>
    <w:p w14:paraId="3A5057AC" w14:textId="77777777" w:rsidR="000C4A9F" w:rsidRDefault="000C4A9F" w:rsidP="008A13CC">
      <w:pPr>
        <w:pStyle w:val="ListParagraph"/>
        <w:numPr>
          <w:ilvl w:val="2"/>
          <w:numId w:val="1"/>
        </w:numPr>
        <w:spacing w:after="0" w:line="240" w:lineRule="auto"/>
        <w:ind w:left="630"/>
      </w:pPr>
      <w:r>
        <w:t>Please answer all questions or put N/A if it does not apply to your situation.</w:t>
      </w:r>
    </w:p>
    <w:p w14:paraId="3740378F" w14:textId="77777777" w:rsidR="000C4A9F" w:rsidRDefault="000C4A9F" w:rsidP="008A13CC">
      <w:pPr>
        <w:spacing w:after="0" w:line="240" w:lineRule="auto"/>
        <w:ind w:left="-90"/>
      </w:pPr>
    </w:p>
    <w:p w14:paraId="5FAAD701" w14:textId="77777777" w:rsidR="000C4A9F" w:rsidRPr="00C13E35" w:rsidRDefault="000C4A9F" w:rsidP="008A13CC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b/>
          <w:u w:val="single"/>
        </w:rPr>
      </w:pPr>
      <w:r w:rsidRPr="00C13E35">
        <w:rPr>
          <w:u w:val="single"/>
        </w:rPr>
        <w:t>EHS reviews the SDS</w:t>
      </w:r>
      <w:r>
        <w:rPr>
          <w:u w:val="single"/>
        </w:rPr>
        <w:t xml:space="preserve"> you provide</w:t>
      </w:r>
      <w:r w:rsidRPr="00C13E35">
        <w:rPr>
          <w:u w:val="single"/>
        </w:rPr>
        <w:t xml:space="preserve"> to</w:t>
      </w:r>
      <w:r>
        <w:rPr>
          <w:u w:val="single"/>
        </w:rPr>
        <w:t xml:space="preserve"> determine if the substance </w:t>
      </w:r>
      <w:r w:rsidRPr="00C13E35">
        <w:rPr>
          <w:u w:val="single"/>
        </w:rPr>
        <w:t>is considered hazardous</w:t>
      </w:r>
    </w:p>
    <w:p w14:paraId="38071881" w14:textId="77777777" w:rsidR="000C4A9F" w:rsidRDefault="000C4A9F" w:rsidP="008A13CC">
      <w:pPr>
        <w:pStyle w:val="ListParagraph"/>
        <w:numPr>
          <w:ilvl w:val="1"/>
          <w:numId w:val="1"/>
        </w:numPr>
        <w:spacing w:after="0" w:line="240" w:lineRule="auto"/>
        <w:ind w:left="360"/>
      </w:pPr>
      <w:r>
        <w:t xml:space="preserve">Please provide </w:t>
      </w:r>
      <w:r w:rsidRPr="008C7D6F">
        <w:t>the most recent</w:t>
      </w:r>
      <w:r>
        <w:t xml:space="preserve"> SDS for the exact substance and concentration you are administering,</w:t>
      </w:r>
      <w:r w:rsidRPr="004C7AFC">
        <w:t xml:space="preserve"> </w:t>
      </w:r>
      <w:r>
        <w:t>under supporting documents, during IACUC protocol/amendment submission.</w:t>
      </w:r>
    </w:p>
    <w:p w14:paraId="301E0969" w14:textId="6804EB6A" w:rsidR="009B2158" w:rsidRPr="009B2158" w:rsidRDefault="000C4A9F" w:rsidP="008A13CC">
      <w:pPr>
        <w:pStyle w:val="ListParagraph"/>
        <w:numPr>
          <w:ilvl w:val="1"/>
          <w:numId w:val="1"/>
        </w:numPr>
        <w:spacing w:after="0" w:line="240" w:lineRule="auto"/>
        <w:ind w:left="360"/>
      </w:pPr>
      <w:r>
        <w:t xml:space="preserve">Information about locating SDS’s can be found at: </w:t>
      </w:r>
      <w:hyperlink r:id="rId14" w:history="1">
        <w:r w:rsidR="009B2158" w:rsidRPr="009B2158">
          <w:rPr>
            <w:rStyle w:val="Hyperlink"/>
          </w:rPr>
          <w:t>https://www.ehss.vt.edu/detail_pages/document_details.php?s_document_title=SDS&amp;document_id=531</w:t>
        </w:r>
      </w:hyperlink>
    </w:p>
    <w:p w14:paraId="606368A3" w14:textId="79882C21" w:rsidR="000C4A9F" w:rsidRPr="008C7D6F" w:rsidRDefault="000C4A9F" w:rsidP="008A13CC">
      <w:pPr>
        <w:pStyle w:val="ListParagraph"/>
        <w:numPr>
          <w:ilvl w:val="1"/>
          <w:numId w:val="1"/>
        </w:numPr>
        <w:spacing w:after="0" w:line="240" w:lineRule="auto"/>
        <w:ind w:left="360"/>
      </w:pPr>
      <w:r>
        <w:t xml:space="preserve">Unless you provide </w:t>
      </w:r>
      <w:r w:rsidRPr="008C7D6F">
        <w:t>EHS with the most recent</w:t>
      </w:r>
      <w:r>
        <w:t xml:space="preserve"> SDS for the specific concentration of </w:t>
      </w:r>
      <w:r w:rsidRPr="008C7D6F">
        <w:t>substance</w:t>
      </w:r>
      <w:r>
        <w:t xml:space="preserve"> you are administering EHS will determine if the substance is hazardous or not based on the closest SDS they</w:t>
      </w:r>
      <w:r w:rsidRPr="008C7D6F">
        <w:t xml:space="preserve"> can locate. </w:t>
      </w:r>
    </w:p>
    <w:p w14:paraId="60B21C51" w14:textId="77777777" w:rsidR="000C4A9F" w:rsidRDefault="000C4A9F" w:rsidP="008A13CC">
      <w:pPr>
        <w:pStyle w:val="ListParagraph"/>
        <w:numPr>
          <w:ilvl w:val="1"/>
          <w:numId w:val="1"/>
        </w:numPr>
        <w:spacing w:after="0" w:line="240" w:lineRule="auto"/>
        <w:ind w:left="360"/>
      </w:pPr>
      <w:r w:rsidRPr="008C7D6F">
        <w:lastRenderedPageBreak/>
        <w:t>Please note that commercial products and/or veterinary approved substances maybe considered hazardous</w:t>
      </w:r>
      <w:r>
        <w:t xml:space="preserve"> and appropriate safety information must be provided to all personnel potentially exposed to the material.</w:t>
      </w:r>
    </w:p>
    <w:p w14:paraId="2BF53DDF" w14:textId="77777777" w:rsidR="000C4A9F" w:rsidRDefault="000C4A9F" w:rsidP="008A13CC">
      <w:pPr>
        <w:pStyle w:val="ListParagraph"/>
        <w:numPr>
          <w:ilvl w:val="1"/>
          <w:numId w:val="1"/>
        </w:numPr>
        <w:spacing w:after="0" w:line="240" w:lineRule="auto"/>
        <w:ind w:left="360"/>
      </w:pPr>
      <w:r>
        <w:t>If substance(s) have been classified by FDA as generally recognized as safe (GRAS) they will be considered non-hazardous. All labeling safety precautions must be followed.</w:t>
      </w:r>
    </w:p>
    <w:p w14:paraId="7A5363CF" w14:textId="77777777" w:rsidR="000C4A9F" w:rsidRDefault="000C4A9F" w:rsidP="008A13CC">
      <w:pPr>
        <w:spacing w:after="0" w:line="240" w:lineRule="auto"/>
        <w:ind w:left="-90"/>
      </w:pPr>
    </w:p>
    <w:p w14:paraId="1995C915" w14:textId="0702E38C" w:rsidR="005A547A" w:rsidRDefault="00E173FE" w:rsidP="008A13CC">
      <w:pPr>
        <w:ind w:left="-90"/>
        <w:rPr>
          <w:b/>
          <w:u w:val="single"/>
        </w:rPr>
      </w:pPr>
      <w:r>
        <w:rPr>
          <w:b/>
          <w:u w:val="single"/>
        </w:rPr>
        <w:t>Hazard Assessment and Other Safety Documentation</w:t>
      </w:r>
      <w:r w:rsidR="005A547A" w:rsidRPr="005A547A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14:paraId="3C001EBC" w14:textId="77777777" w:rsidR="00E173FE" w:rsidRPr="000E269B" w:rsidRDefault="00E173FE" w:rsidP="008A13CC">
      <w:pPr>
        <w:pStyle w:val="Heading1"/>
        <w:spacing w:before="0" w:line="240" w:lineRule="auto"/>
        <w:ind w:left="-90"/>
        <w:rPr>
          <w:rFonts w:asciiTheme="minorHAnsi" w:hAnsiTheme="minorHAnsi"/>
          <w:color w:val="auto"/>
          <w:sz w:val="22"/>
        </w:rPr>
      </w:pPr>
      <w:r w:rsidRPr="00E962F8">
        <w:rPr>
          <w:rFonts w:asciiTheme="minorHAnsi" w:hAnsiTheme="minorHAnsi"/>
          <w:color w:val="auto"/>
          <w:sz w:val="22"/>
        </w:rPr>
        <w:t>Before any work begins in the lab or animal facility, Principal Investigators are responsible for informing research staff and the animal care staff of hazards [based on Safety Data Sheets (SDS) and other resources] associated with substances they will work with or be potentially exposed</w:t>
      </w:r>
      <w:r>
        <w:rPr>
          <w:rFonts w:asciiTheme="minorHAnsi" w:hAnsiTheme="minorHAnsi"/>
          <w:color w:val="auto"/>
          <w:sz w:val="22"/>
        </w:rPr>
        <w:t>.</w:t>
      </w:r>
    </w:p>
    <w:p w14:paraId="6509532C" w14:textId="77777777" w:rsidR="006A13EA" w:rsidRDefault="006A13EA" w:rsidP="008A13CC">
      <w:pPr>
        <w:spacing w:after="0" w:line="240" w:lineRule="auto"/>
        <w:ind w:left="-90"/>
      </w:pPr>
    </w:p>
    <w:p w14:paraId="209714DE" w14:textId="37989684" w:rsidR="00E173FE" w:rsidRDefault="00E173FE" w:rsidP="008A13CC">
      <w:pPr>
        <w:spacing w:after="0" w:line="240" w:lineRule="auto"/>
        <w:ind w:left="-90"/>
      </w:pPr>
      <w:r w:rsidRPr="00E962F8">
        <w:t>Different types of animal research spaces have specific requirements for using chemicals. The following table summarizes those requirements for each type of research space.</w:t>
      </w:r>
    </w:p>
    <w:p w14:paraId="73D31885" w14:textId="77777777" w:rsidR="006A13EA" w:rsidRDefault="006A13EA" w:rsidP="008A13CC">
      <w:pPr>
        <w:spacing w:after="0" w:line="240" w:lineRule="auto"/>
        <w:ind w:left="-9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425"/>
        <w:gridCol w:w="973"/>
        <w:gridCol w:w="882"/>
        <w:gridCol w:w="1875"/>
        <w:gridCol w:w="1992"/>
        <w:gridCol w:w="2096"/>
      </w:tblGrid>
      <w:tr w:rsidR="00E173FE" w14:paraId="3B866EB0" w14:textId="77777777" w:rsidTr="005F7723">
        <w:trPr>
          <w:gridBefore w:val="1"/>
          <w:wBefore w:w="1890" w:type="dxa"/>
          <w:trHeight w:val="332"/>
          <w:jc w:val="center"/>
        </w:trPr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4" w:type="dxa"/>
              <w:left w:w="115" w:type="dxa"/>
              <w:right w:w="115" w:type="dxa"/>
            </w:tcMar>
          </w:tcPr>
          <w:p w14:paraId="5F0853A6" w14:textId="77777777" w:rsidR="00E173FE" w:rsidRDefault="00E173FE" w:rsidP="008A13CC">
            <w:pPr>
              <w:ind w:left="-90"/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4" w:type="dxa"/>
              <w:left w:w="115" w:type="dxa"/>
              <w:right w:w="115" w:type="dxa"/>
            </w:tcMar>
          </w:tcPr>
          <w:p w14:paraId="5D7E00B0" w14:textId="77777777" w:rsidR="00E173FE" w:rsidRDefault="00E173FE" w:rsidP="008A13CC">
            <w:pPr>
              <w:ind w:left="-90"/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15" w:type="dxa"/>
              <w:right w:w="115" w:type="dxa"/>
            </w:tcMar>
          </w:tcPr>
          <w:p w14:paraId="45ED43AB" w14:textId="77777777" w:rsidR="00E173FE" w:rsidRDefault="00E173FE" w:rsidP="008A13CC">
            <w:pPr>
              <w:ind w:left="-90"/>
            </w:pP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  <w:tcMar>
              <w:top w:w="14" w:type="dxa"/>
              <w:left w:w="115" w:type="dxa"/>
              <w:right w:w="115" w:type="dxa"/>
            </w:tcMar>
            <w:vAlign w:val="center"/>
          </w:tcPr>
          <w:p w14:paraId="3A49C7E5" w14:textId="77777777" w:rsidR="00E173FE" w:rsidRPr="00E962F8" w:rsidRDefault="00E173FE" w:rsidP="008A13CC">
            <w:pPr>
              <w:ind w:left="-90"/>
              <w:jc w:val="center"/>
              <w:rPr>
                <w:b/>
              </w:rPr>
            </w:pPr>
            <w:r w:rsidRPr="00E962F8">
              <w:rPr>
                <w:b/>
              </w:rPr>
              <w:t>PI /Designee Completes &amp; Maintains:</w:t>
            </w:r>
          </w:p>
        </w:tc>
      </w:tr>
      <w:tr w:rsidR="00E173FE" w14:paraId="5D1F3092" w14:textId="77777777" w:rsidTr="005F7723">
        <w:trPr>
          <w:trHeight w:val="1223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top w:w="14" w:type="dxa"/>
              <w:left w:w="115" w:type="dxa"/>
              <w:right w:w="115" w:type="dxa"/>
            </w:tcMar>
          </w:tcPr>
          <w:p w14:paraId="5D1B04ED" w14:textId="77777777" w:rsidR="00D57239" w:rsidRDefault="00D57239" w:rsidP="008A13CC">
            <w:pPr>
              <w:ind w:left="-90"/>
              <w:rPr>
                <w:b/>
                <w:sz w:val="18"/>
                <w:szCs w:val="18"/>
              </w:rPr>
            </w:pPr>
          </w:p>
          <w:p w14:paraId="317898D6" w14:textId="77777777" w:rsidR="00D57239" w:rsidRDefault="00D57239" w:rsidP="008A13CC">
            <w:pPr>
              <w:ind w:left="-90"/>
              <w:rPr>
                <w:b/>
                <w:sz w:val="18"/>
                <w:szCs w:val="18"/>
              </w:rPr>
            </w:pPr>
          </w:p>
          <w:p w14:paraId="6A24807E" w14:textId="77777777" w:rsidR="00D57239" w:rsidRDefault="00D57239" w:rsidP="008A13CC">
            <w:pPr>
              <w:ind w:left="-90"/>
              <w:rPr>
                <w:b/>
                <w:sz w:val="18"/>
                <w:szCs w:val="18"/>
              </w:rPr>
            </w:pPr>
          </w:p>
          <w:p w14:paraId="2F512F41" w14:textId="7A8C0EE6" w:rsidR="00E173FE" w:rsidRPr="00D57239" w:rsidRDefault="00E173FE" w:rsidP="008A13CC">
            <w:pPr>
              <w:ind w:left="-90"/>
              <w:jc w:val="center"/>
              <w:rPr>
                <w:b/>
                <w:sz w:val="18"/>
                <w:szCs w:val="18"/>
              </w:rPr>
            </w:pPr>
            <w:r w:rsidRPr="00D57239">
              <w:rPr>
                <w:b/>
                <w:sz w:val="18"/>
                <w:szCs w:val="18"/>
              </w:rPr>
              <w:t>Type of Research Space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top w:w="14" w:type="dxa"/>
              <w:left w:w="115" w:type="dxa"/>
              <w:right w:w="115" w:type="dxa"/>
            </w:tcMar>
          </w:tcPr>
          <w:p w14:paraId="65A00D01" w14:textId="77777777" w:rsidR="00D57239" w:rsidRDefault="00D57239" w:rsidP="008A13CC">
            <w:pPr>
              <w:ind w:left="-90"/>
              <w:jc w:val="center"/>
              <w:rPr>
                <w:b/>
                <w:sz w:val="18"/>
                <w:szCs w:val="18"/>
              </w:rPr>
            </w:pPr>
          </w:p>
          <w:p w14:paraId="07B147CB" w14:textId="77777777" w:rsidR="00D57239" w:rsidRDefault="00D57239" w:rsidP="008A13CC">
            <w:pPr>
              <w:ind w:left="-90"/>
              <w:jc w:val="center"/>
              <w:rPr>
                <w:b/>
                <w:sz w:val="18"/>
                <w:szCs w:val="18"/>
              </w:rPr>
            </w:pPr>
          </w:p>
          <w:p w14:paraId="46A1AB1C" w14:textId="77777777" w:rsidR="00D57239" w:rsidRDefault="00D57239" w:rsidP="008A13CC">
            <w:pPr>
              <w:ind w:left="-90"/>
              <w:jc w:val="center"/>
              <w:rPr>
                <w:b/>
                <w:sz w:val="18"/>
                <w:szCs w:val="18"/>
              </w:rPr>
            </w:pPr>
          </w:p>
          <w:p w14:paraId="588E97DE" w14:textId="371BF563" w:rsidR="00E173FE" w:rsidRPr="00D57239" w:rsidRDefault="00E173FE" w:rsidP="008A13CC">
            <w:pPr>
              <w:ind w:left="-90"/>
              <w:jc w:val="center"/>
              <w:rPr>
                <w:b/>
                <w:sz w:val="18"/>
                <w:szCs w:val="18"/>
              </w:rPr>
            </w:pPr>
            <w:r w:rsidRPr="00D57239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D0CECE" w:themeFill="background2" w:themeFillShade="E6"/>
            <w:tcMar>
              <w:top w:w="14" w:type="dxa"/>
              <w:left w:w="115" w:type="dxa"/>
              <w:right w:w="115" w:type="dxa"/>
            </w:tcMar>
          </w:tcPr>
          <w:p w14:paraId="716515E2" w14:textId="77777777" w:rsidR="00E173FE" w:rsidRPr="00D57239" w:rsidRDefault="00E173FE" w:rsidP="008A13CC">
            <w:pPr>
              <w:ind w:left="-90"/>
              <w:rPr>
                <w:b/>
                <w:sz w:val="18"/>
                <w:szCs w:val="18"/>
              </w:rPr>
            </w:pPr>
            <w:r w:rsidRPr="00D57239">
              <w:rPr>
                <w:b/>
                <w:sz w:val="18"/>
                <w:szCs w:val="18"/>
              </w:rPr>
              <w:t xml:space="preserve">PI/Designee Performs </w:t>
            </w:r>
            <w:hyperlink r:id="rId15" w:history="1">
              <w:r w:rsidRPr="00D57239">
                <w:rPr>
                  <w:rStyle w:val="Hyperlink"/>
                  <w:b/>
                  <w:sz w:val="18"/>
                  <w:szCs w:val="18"/>
                </w:rPr>
                <w:t>Hazard Assessment</w:t>
              </w:r>
            </w:hyperlink>
            <w:r w:rsidRPr="00D57239">
              <w:rPr>
                <w:rStyle w:val="Hyperlink"/>
                <w:b/>
                <w:sz w:val="18"/>
                <w:szCs w:val="18"/>
              </w:rPr>
              <w:t>*</w:t>
            </w:r>
            <w:r w:rsidRPr="00D57239">
              <w:rPr>
                <w:b/>
                <w:sz w:val="18"/>
                <w:szCs w:val="18"/>
              </w:rPr>
              <w:t xml:space="preserve"> and Completes Appendix G**</w:t>
            </w:r>
          </w:p>
        </w:tc>
        <w:tc>
          <w:tcPr>
            <w:tcW w:w="2610" w:type="dxa"/>
            <w:shd w:val="clear" w:color="auto" w:fill="D0CECE" w:themeFill="background2" w:themeFillShade="E6"/>
            <w:tcMar>
              <w:top w:w="14" w:type="dxa"/>
              <w:left w:w="115" w:type="dxa"/>
              <w:right w:w="115" w:type="dxa"/>
            </w:tcMar>
          </w:tcPr>
          <w:p w14:paraId="4E057111" w14:textId="77777777" w:rsidR="00E173FE" w:rsidRPr="00D57239" w:rsidRDefault="00E173FE" w:rsidP="008A13CC">
            <w:pPr>
              <w:pStyle w:val="ListParagraph"/>
              <w:numPr>
                <w:ilvl w:val="0"/>
                <w:numId w:val="2"/>
              </w:numPr>
              <w:ind w:left="-90" w:hanging="256"/>
              <w:rPr>
                <w:b/>
                <w:sz w:val="18"/>
                <w:szCs w:val="18"/>
              </w:rPr>
            </w:pPr>
            <w:r w:rsidRPr="00D57239">
              <w:rPr>
                <w:b/>
                <w:sz w:val="18"/>
                <w:szCs w:val="18"/>
              </w:rPr>
              <w:t>HazCom Plan</w:t>
            </w:r>
          </w:p>
          <w:p w14:paraId="41CF7DA8" w14:textId="77777777" w:rsidR="00E173FE" w:rsidRPr="00D57239" w:rsidRDefault="00E173FE" w:rsidP="008A13CC">
            <w:pPr>
              <w:pStyle w:val="ListParagraph"/>
              <w:numPr>
                <w:ilvl w:val="0"/>
                <w:numId w:val="2"/>
              </w:numPr>
              <w:ind w:left="-90" w:hanging="256"/>
              <w:rPr>
                <w:b/>
                <w:sz w:val="18"/>
                <w:szCs w:val="18"/>
              </w:rPr>
            </w:pPr>
            <w:r w:rsidRPr="00D57239">
              <w:rPr>
                <w:b/>
                <w:sz w:val="18"/>
                <w:szCs w:val="18"/>
              </w:rPr>
              <w:t>Facility-specific SOPs (if required)</w:t>
            </w:r>
          </w:p>
          <w:p w14:paraId="50145FC3" w14:textId="77777777" w:rsidR="00E173FE" w:rsidRPr="00D57239" w:rsidRDefault="00E173FE" w:rsidP="008A13CC">
            <w:pPr>
              <w:pStyle w:val="ListParagraph"/>
              <w:numPr>
                <w:ilvl w:val="0"/>
                <w:numId w:val="2"/>
              </w:numPr>
              <w:ind w:left="-90" w:hanging="256"/>
              <w:rPr>
                <w:b/>
                <w:sz w:val="18"/>
                <w:szCs w:val="18"/>
              </w:rPr>
            </w:pPr>
            <w:r w:rsidRPr="00D57239">
              <w:rPr>
                <w:b/>
                <w:sz w:val="18"/>
                <w:szCs w:val="18"/>
              </w:rPr>
              <w:t>SDS Management</w:t>
            </w:r>
          </w:p>
        </w:tc>
        <w:tc>
          <w:tcPr>
            <w:tcW w:w="2790" w:type="dxa"/>
            <w:shd w:val="clear" w:color="auto" w:fill="D0CECE" w:themeFill="background2" w:themeFillShade="E6"/>
            <w:tcMar>
              <w:top w:w="14" w:type="dxa"/>
              <w:left w:w="115" w:type="dxa"/>
              <w:right w:w="115" w:type="dxa"/>
            </w:tcMar>
          </w:tcPr>
          <w:p w14:paraId="38AA8B7D" w14:textId="77777777" w:rsidR="00E173FE" w:rsidRPr="00D57239" w:rsidRDefault="00E173FE" w:rsidP="008A13CC">
            <w:pPr>
              <w:pStyle w:val="ListParagraph"/>
              <w:numPr>
                <w:ilvl w:val="0"/>
                <w:numId w:val="2"/>
              </w:numPr>
              <w:ind w:left="-90" w:hanging="256"/>
              <w:rPr>
                <w:b/>
                <w:sz w:val="18"/>
                <w:szCs w:val="18"/>
              </w:rPr>
            </w:pPr>
            <w:r w:rsidRPr="00D57239">
              <w:rPr>
                <w:b/>
                <w:sz w:val="18"/>
                <w:szCs w:val="18"/>
              </w:rPr>
              <w:t>Chemical Hygiene Plan</w:t>
            </w:r>
          </w:p>
          <w:p w14:paraId="01B6177A" w14:textId="77777777" w:rsidR="00E173FE" w:rsidRPr="00D57239" w:rsidRDefault="00E173FE" w:rsidP="008A13CC">
            <w:pPr>
              <w:pStyle w:val="ListParagraph"/>
              <w:numPr>
                <w:ilvl w:val="0"/>
                <w:numId w:val="2"/>
              </w:numPr>
              <w:ind w:left="-90" w:right="-284" w:hanging="256"/>
              <w:rPr>
                <w:b/>
                <w:sz w:val="18"/>
                <w:szCs w:val="18"/>
              </w:rPr>
            </w:pPr>
            <w:r w:rsidRPr="00D57239">
              <w:rPr>
                <w:b/>
                <w:sz w:val="18"/>
                <w:szCs w:val="18"/>
              </w:rPr>
              <w:t>Lab-specific SOPs</w:t>
            </w:r>
          </w:p>
          <w:p w14:paraId="41AF475C" w14:textId="77777777" w:rsidR="00E173FE" w:rsidRPr="00D57239" w:rsidRDefault="00E173FE" w:rsidP="008A13CC">
            <w:pPr>
              <w:pStyle w:val="ListParagraph"/>
              <w:ind w:left="-90" w:right="-284"/>
              <w:rPr>
                <w:b/>
                <w:sz w:val="18"/>
                <w:szCs w:val="18"/>
              </w:rPr>
            </w:pPr>
            <w:r w:rsidRPr="00D57239">
              <w:rPr>
                <w:b/>
                <w:sz w:val="18"/>
                <w:szCs w:val="18"/>
              </w:rPr>
              <w:t xml:space="preserve"> (if required)</w:t>
            </w:r>
          </w:p>
          <w:p w14:paraId="7C517C6C" w14:textId="77777777" w:rsidR="00E173FE" w:rsidRPr="00D57239" w:rsidRDefault="00E173FE" w:rsidP="008A13CC">
            <w:pPr>
              <w:pStyle w:val="ListParagraph"/>
              <w:numPr>
                <w:ilvl w:val="0"/>
                <w:numId w:val="2"/>
              </w:numPr>
              <w:ind w:left="-90" w:right="-284" w:hanging="256"/>
              <w:rPr>
                <w:b/>
                <w:sz w:val="18"/>
                <w:szCs w:val="18"/>
              </w:rPr>
            </w:pPr>
            <w:r w:rsidRPr="00D57239">
              <w:rPr>
                <w:b/>
                <w:sz w:val="18"/>
                <w:szCs w:val="18"/>
              </w:rPr>
              <w:t>SDS Management</w:t>
            </w:r>
          </w:p>
        </w:tc>
      </w:tr>
      <w:tr w:rsidR="00E173FE" w14:paraId="22002AD6" w14:textId="77777777" w:rsidTr="005F7723">
        <w:trPr>
          <w:jc w:val="center"/>
        </w:trPr>
        <w:tc>
          <w:tcPr>
            <w:tcW w:w="2430" w:type="dxa"/>
            <w:gridSpan w:val="2"/>
            <w:shd w:val="clear" w:color="auto" w:fill="D0CECE" w:themeFill="background2" w:themeFillShade="E6"/>
            <w:tcMar>
              <w:top w:w="14" w:type="dxa"/>
              <w:left w:w="115" w:type="dxa"/>
              <w:right w:w="115" w:type="dxa"/>
            </w:tcMar>
          </w:tcPr>
          <w:p w14:paraId="10973C44" w14:textId="77777777" w:rsidR="00E173FE" w:rsidRPr="00A03778" w:rsidRDefault="00E173FE" w:rsidP="008A13CC">
            <w:pPr>
              <w:ind w:left="-90"/>
              <w:rPr>
                <w:sz w:val="20"/>
              </w:rPr>
            </w:pPr>
            <w:r w:rsidRPr="00A03778">
              <w:rPr>
                <w:sz w:val="20"/>
              </w:rPr>
              <w:t>Animal Facilities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  <w:tcMar>
              <w:top w:w="14" w:type="dxa"/>
              <w:left w:w="115" w:type="dxa"/>
              <w:right w:w="115" w:type="dxa"/>
            </w:tcMar>
          </w:tcPr>
          <w:p w14:paraId="14EFAD69" w14:textId="77777777" w:rsidR="00E173FE" w:rsidRPr="00A03778" w:rsidRDefault="00E173FE" w:rsidP="008A13CC">
            <w:pPr>
              <w:ind w:left="-90"/>
              <w:rPr>
                <w:sz w:val="20"/>
              </w:rPr>
            </w:pPr>
            <w:r w:rsidRPr="00A03778">
              <w:rPr>
                <w:sz w:val="20"/>
              </w:rPr>
              <w:t>Vet Med</w:t>
            </w:r>
          </w:p>
          <w:p w14:paraId="49DC4B2B" w14:textId="77777777" w:rsidR="00E173FE" w:rsidRPr="00A03778" w:rsidRDefault="00E173FE" w:rsidP="008A13CC">
            <w:pPr>
              <w:ind w:left="-90"/>
              <w:rPr>
                <w:sz w:val="20"/>
              </w:rPr>
            </w:pPr>
            <w:r w:rsidRPr="00A03778">
              <w:rPr>
                <w:sz w:val="20"/>
              </w:rPr>
              <w:t>LS1</w:t>
            </w:r>
          </w:p>
          <w:p w14:paraId="233C890A" w14:textId="77777777" w:rsidR="00E173FE" w:rsidRPr="00A03778" w:rsidRDefault="00E173FE" w:rsidP="008A13CC">
            <w:pPr>
              <w:ind w:left="-90"/>
              <w:rPr>
                <w:sz w:val="20"/>
              </w:rPr>
            </w:pPr>
            <w:r w:rsidRPr="00A03778">
              <w:rPr>
                <w:sz w:val="20"/>
              </w:rPr>
              <w:t>ILSB</w:t>
            </w:r>
          </w:p>
          <w:p w14:paraId="646204FF" w14:textId="77777777" w:rsidR="00E173FE" w:rsidRPr="00A03778" w:rsidRDefault="00E173FE" w:rsidP="008A13CC">
            <w:pPr>
              <w:ind w:left="-90"/>
              <w:rPr>
                <w:sz w:val="20"/>
              </w:rPr>
            </w:pPr>
            <w:r w:rsidRPr="00A03778">
              <w:rPr>
                <w:sz w:val="20"/>
              </w:rPr>
              <w:t>VTCRI</w:t>
            </w:r>
          </w:p>
          <w:p w14:paraId="1F66859A" w14:textId="77777777" w:rsidR="00E173FE" w:rsidRPr="00A03778" w:rsidRDefault="00E173FE" w:rsidP="008A13CC">
            <w:pPr>
              <w:ind w:left="-90"/>
              <w:rPr>
                <w:sz w:val="20"/>
              </w:rPr>
            </w:pPr>
          </w:p>
        </w:tc>
        <w:tc>
          <w:tcPr>
            <w:tcW w:w="2430" w:type="dxa"/>
            <w:tcMar>
              <w:top w:w="14" w:type="dxa"/>
              <w:left w:w="115" w:type="dxa"/>
              <w:right w:w="115" w:type="dxa"/>
            </w:tcMar>
            <w:vAlign w:val="center"/>
          </w:tcPr>
          <w:p w14:paraId="3B202C0E" w14:textId="77777777" w:rsidR="00E173FE" w:rsidRDefault="00E173FE" w:rsidP="008A13CC">
            <w:pPr>
              <w:ind w:left="-90"/>
              <w:jc w:val="center"/>
            </w:pPr>
            <w:r>
              <w:t>Yes</w:t>
            </w:r>
          </w:p>
        </w:tc>
        <w:tc>
          <w:tcPr>
            <w:tcW w:w="2610" w:type="dxa"/>
            <w:tcMar>
              <w:top w:w="14" w:type="dxa"/>
              <w:left w:w="115" w:type="dxa"/>
              <w:right w:w="115" w:type="dxa"/>
            </w:tcMar>
            <w:vAlign w:val="center"/>
          </w:tcPr>
          <w:p w14:paraId="5C46D705" w14:textId="77777777" w:rsidR="00E173FE" w:rsidRDefault="00E173FE" w:rsidP="008A13CC">
            <w:pPr>
              <w:ind w:left="-90"/>
              <w:jc w:val="center"/>
            </w:pPr>
            <w:r>
              <w:t>Yes</w:t>
            </w:r>
          </w:p>
        </w:tc>
        <w:tc>
          <w:tcPr>
            <w:tcW w:w="2790" w:type="dxa"/>
            <w:tcMar>
              <w:top w:w="14" w:type="dxa"/>
              <w:left w:w="115" w:type="dxa"/>
              <w:right w:w="115" w:type="dxa"/>
            </w:tcMar>
            <w:vAlign w:val="center"/>
          </w:tcPr>
          <w:p w14:paraId="24B3D507" w14:textId="77777777" w:rsidR="00E173FE" w:rsidRDefault="00E173FE" w:rsidP="008A13CC">
            <w:pPr>
              <w:ind w:left="-90"/>
              <w:jc w:val="center"/>
            </w:pPr>
            <w:r>
              <w:t>No</w:t>
            </w:r>
          </w:p>
        </w:tc>
      </w:tr>
      <w:tr w:rsidR="00E173FE" w14:paraId="66ABCA9C" w14:textId="77777777" w:rsidTr="005F7723">
        <w:trPr>
          <w:trHeight w:val="1187"/>
          <w:jc w:val="center"/>
        </w:trPr>
        <w:tc>
          <w:tcPr>
            <w:tcW w:w="2430" w:type="dxa"/>
            <w:gridSpan w:val="2"/>
            <w:shd w:val="clear" w:color="auto" w:fill="D0CECE" w:themeFill="background2" w:themeFillShade="E6"/>
            <w:tcMar>
              <w:top w:w="14" w:type="dxa"/>
              <w:left w:w="115" w:type="dxa"/>
              <w:right w:w="115" w:type="dxa"/>
            </w:tcMar>
          </w:tcPr>
          <w:p w14:paraId="7B781D8B" w14:textId="77777777" w:rsidR="00E173FE" w:rsidRPr="00A03778" w:rsidRDefault="00E173FE" w:rsidP="008A13CC">
            <w:pPr>
              <w:ind w:left="-90"/>
              <w:rPr>
                <w:sz w:val="20"/>
              </w:rPr>
            </w:pPr>
            <w:r w:rsidRPr="00A03778">
              <w:rPr>
                <w:sz w:val="20"/>
              </w:rPr>
              <w:t>Labs where animal research is conducted (Use of snakes, frogs, salamanders etc.)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  <w:tcMar>
              <w:top w:w="14" w:type="dxa"/>
              <w:left w:w="115" w:type="dxa"/>
              <w:right w:w="115" w:type="dxa"/>
            </w:tcMar>
          </w:tcPr>
          <w:p w14:paraId="4A125A7A" w14:textId="77777777" w:rsidR="00E173FE" w:rsidRPr="00A03778" w:rsidRDefault="00E173FE" w:rsidP="008A13CC">
            <w:pPr>
              <w:ind w:left="-90"/>
              <w:rPr>
                <w:sz w:val="20"/>
              </w:rPr>
            </w:pPr>
            <w:r w:rsidRPr="00A03778">
              <w:rPr>
                <w:sz w:val="20"/>
              </w:rPr>
              <w:t>Derring Hall</w:t>
            </w:r>
          </w:p>
          <w:p w14:paraId="3D25D343" w14:textId="77777777" w:rsidR="00E173FE" w:rsidRPr="00A03778" w:rsidRDefault="00E173FE" w:rsidP="008A13CC">
            <w:pPr>
              <w:ind w:left="-90"/>
              <w:rPr>
                <w:sz w:val="20"/>
              </w:rPr>
            </w:pPr>
            <w:r w:rsidRPr="00A03778">
              <w:rPr>
                <w:sz w:val="20"/>
              </w:rPr>
              <w:t>Norris Hall</w:t>
            </w:r>
          </w:p>
        </w:tc>
        <w:tc>
          <w:tcPr>
            <w:tcW w:w="2430" w:type="dxa"/>
            <w:tcMar>
              <w:top w:w="14" w:type="dxa"/>
              <w:left w:w="115" w:type="dxa"/>
              <w:right w:w="115" w:type="dxa"/>
            </w:tcMar>
            <w:vAlign w:val="center"/>
          </w:tcPr>
          <w:p w14:paraId="6F267C1E" w14:textId="77777777" w:rsidR="00E173FE" w:rsidRDefault="00E173FE" w:rsidP="008A13CC">
            <w:pPr>
              <w:ind w:left="-90"/>
              <w:jc w:val="center"/>
            </w:pPr>
            <w:r>
              <w:t>Yes</w:t>
            </w:r>
          </w:p>
        </w:tc>
        <w:tc>
          <w:tcPr>
            <w:tcW w:w="2610" w:type="dxa"/>
            <w:tcMar>
              <w:top w:w="14" w:type="dxa"/>
              <w:left w:w="115" w:type="dxa"/>
              <w:right w:w="115" w:type="dxa"/>
            </w:tcMar>
            <w:vAlign w:val="center"/>
          </w:tcPr>
          <w:p w14:paraId="32746F61" w14:textId="61EB120D" w:rsidR="00E173FE" w:rsidRDefault="000B01A1" w:rsidP="008A13CC">
            <w:pPr>
              <w:ind w:left="-90"/>
              <w:jc w:val="center"/>
            </w:pPr>
            <w:r>
              <w:t>No</w:t>
            </w:r>
          </w:p>
        </w:tc>
        <w:tc>
          <w:tcPr>
            <w:tcW w:w="2790" w:type="dxa"/>
            <w:tcMar>
              <w:top w:w="14" w:type="dxa"/>
              <w:left w:w="115" w:type="dxa"/>
              <w:right w:w="115" w:type="dxa"/>
            </w:tcMar>
            <w:vAlign w:val="center"/>
          </w:tcPr>
          <w:p w14:paraId="37E1A60B" w14:textId="77777777" w:rsidR="00E173FE" w:rsidRDefault="00E173FE" w:rsidP="008A13CC">
            <w:pPr>
              <w:ind w:left="-90"/>
              <w:jc w:val="center"/>
            </w:pPr>
            <w:r>
              <w:t>Yes</w:t>
            </w:r>
          </w:p>
        </w:tc>
      </w:tr>
      <w:tr w:rsidR="00E173FE" w14:paraId="5FEB0E44" w14:textId="77777777" w:rsidTr="005F7723">
        <w:trPr>
          <w:jc w:val="center"/>
        </w:trPr>
        <w:tc>
          <w:tcPr>
            <w:tcW w:w="2430" w:type="dxa"/>
            <w:gridSpan w:val="2"/>
            <w:shd w:val="clear" w:color="auto" w:fill="D0CECE" w:themeFill="background2" w:themeFillShade="E6"/>
            <w:tcMar>
              <w:top w:w="14" w:type="dxa"/>
              <w:left w:w="115" w:type="dxa"/>
              <w:right w:w="115" w:type="dxa"/>
            </w:tcMar>
          </w:tcPr>
          <w:p w14:paraId="6788C1F9" w14:textId="77777777" w:rsidR="00E173FE" w:rsidRPr="00A03778" w:rsidRDefault="00E173FE" w:rsidP="008A13CC">
            <w:pPr>
              <w:ind w:left="-90"/>
              <w:rPr>
                <w:sz w:val="20"/>
              </w:rPr>
            </w:pPr>
            <w:r w:rsidRPr="00A03778">
              <w:rPr>
                <w:sz w:val="20"/>
              </w:rPr>
              <w:t>Vivariums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  <w:tcMar>
              <w:top w:w="14" w:type="dxa"/>
              <w:left w:w="115" w:type="dxa"/>
              <w:right w:w="115" w:type="dxa"/>
            </w:tcMar>
          </w:tcPr>
          <w:p w14:paraId="04865E9A" w14:textId="77777777" w:rsidR="00E173FE" w:rsidRPr="00A03778" w:rsidRDefault="00E173FE" w:rsidP="008A13CC">
            <w:pPr>
              <w:ind w:left="-90"/>
              <w:rPr>
                <w:sz w:val="20"/>
              </w:rPr>
            </w:pPr>
            <w:proofErr w:type="spellStart"/>
            <w:r w:rsidRPr="00A03778">
              <w:rPr>
                <w:sz w:val="20"/>
              </w:rPr>
              <w:t>Derring</w:t>
            </w:r>
            <w:proofErr w:type="spellEnd"/>
            <w:r w:rsidRPr="00A03778">
              <w:rPr>
                <w:sz w:val="20"/>
              </w:rPr>
              <w:t xml:space="preserve"> Hall</w:t>
            </w:r>
          </w:p>
          <w:p w14:paraId="31E7F810" w14:textId="77777777" w:rsidR="00E173FE" w:rsidRPr="00A03778" w:rsidRDefault="00E173FE" w:rsidP="008A13CC">
            <w:pPr>
              <w:ind w:left="-90"/>
              <w:rPr>
                <w:sz w:val="20"/>
              </w:rPr>
            </w:pPr>
            <w:r w:rsidRPr="00A03778">
              <w:rPr>
                <w:sz w:val="20"/>
              </w:rPr>
              <w:t>Litton-Reeves Hall</w:t>
            </w:r>
          </w:p>
        </w:tc>
        <w:tc>
          <w:tcPr>
            <w:tcW w:w="2430" w:type="dxa"/>
            <w:tcMar>
              <w:top w:w="14" w:type="dxa"/>
              <w:left w:w="115" w:type="dxa"/>
              <w:right w:w="115" w:type="dxa"/>
            </w:tcMar>
            <w:vAlign w:val="center"/>
          </w:tcPr>
          <w:p w14:paraId="2B24478B" w14:textId="77777777" w:rsidR="00E173FE" w:rsidRDefault="00E173FE" w:rsidP="008A13CC">
            <w:pPr>
              <w:ind w:left="-90"/>
              <w:jc w:val="center"/>
            </w:pPr>
            <w:r>
              <w:t>Yes</w:t>
            </w:r>
          </w:p>
        </w:tc>
        <w:tc>
          <w:tcPr>
            <w:tcW w:w="2610" w:type="dxa"/>
            <w:tcMar>
              <w:top w:w="14" w:type="dxa"/>
              <w:left w:w="115" w:type="dxa"/>
              <w:right w:w="115" w:type="dxa"/>
            </w:tcMar>
            <w:vAlign w:val="center"/>
          </w:tcPr>
          <w:p w14:paraId="29D96F26" w14:textId="77777777" w:rsidR="00E173FE" w:rsidRDefault="00E173FE" w:rsidP="008A13CC">
            <w:pPr>
              <w:ind w:left="-90"/>
              <w:jc w:val="center"/>
            </w:pPr>
            <w:r>
              <w:t>Yes</w:t>
            </w:r>
          </w:p>
        </w:tc>
        <w:tc>
          <w:tcPr>
            <w:tcW w:w="2790" w:type="dxa"/>
            <w:tcMar>
              <w:top w:w="14" w:type="dxa"/>
              <w:left w:w="115" w:type="dxa"/>
              <w:right w:w="115" w:type="dxa"/>
            </w:tcMar>
            <w:vAlign w:val="center"/>
          </w:tcPr>
          <w:p w14:paraId="1589BB81" w14:textId="77777777" w:rsidR="00E173FE" w:rsidRDefault="00E173FE" w:rsidP="008A13CC">
            <w:pPr>
              <w:ind w:left="-90"/>
              <w:jc w:val="center"/>
            </w:pPr>
            <w:r>
              <w:t>No</w:t>
            </w:r>
          </w:p>
        </w:tc>
      </w:tr>
      <w:tr w:rsidR="00E173FE" w14:paraId="774A605E" w14:textId="77777777" w:rsidTr="000C4A9F">
        <w:trPr>
          <w:trHeight w:val="2046"/>
          <w:jc w:val="center"/>
        </w:trPr>
        <w:tc>
          <w:tcPr>
            <w:tcW w:w="2430" w:type="dxa"/>
            <w:gridSpan w:val="2"/>
            <w:shd w:val="clear" w:color="auto" w:fill="D0CECE" w:themeFill="background2" w:themeFillShade="E6"/>
            <w:tcMar>
              <w:top w:w="14" w:type="dxa"/>
              <w:left w:w="115" w:type="dxa"/>
              <w:right w:w="115" w:type="dxa"/>
            </w:tcMar>
          </w:tcPr>
          <w:p w14:paraId="578F2EB4" w14:textId="77777777" w:rsidR="00E173FE" w:rsidRPr="00A03778" w:rsidRDefault="00E173FE" w:rsidP="008A13CC">
            <w:pPr>
              <w:ind w:left="-90"/>
              <w:rPr>
                <w:sz w:val="20"/>
              </w:rPr>
            </w:pPr>
            <w:r w:rsidRPr="00A03778">
              <w:rPr>
                <w:sz w:val="20"/>
              </w:rPr>
              <w:t>Farms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  <w:tcMar>
              <w:top w:w="14" w:type="dxa"/>
              <w:left w:w="115" w:type="dxa"/>
              <w:right w:w="115" w:type="dxa"/>
            </w:tcMar>
          </w:tcPr>
          <w:p w14:paraId="0DC70317" w14:textId="0FD204BA" w:rsidR="00E173FE" w:rsidRPr="00A03778" w:rsidRDefault="00E173FE" w:rsidP="008A13CC">
            <w:pPr>
              <w:ind w:left="-90"/>
              <w:rPr>
                <w:sz w:val="20"/>
              </w:rPr>
            </w:pPr>
            <w:r w:rsidRPr="00A03778">
              <w:rPr>
                <w:sz w:val="20"/>
              </w:rPr>
              <w:t>Kentland</w:t>
            </w:r>
            <w:r w:rsidR="000C4A9F">
              <w:rPr>
                <w:sz w:val="20"/>
              </w:rPr>
              <w:t>/</w:t>
            </w:r>
            <w:r w:rsidR="000B01A1">
              <w:rPr>
                <w:sz w:val="20"/>
              </w:rPr>
              <w:t xml:space="preserve">            </w:t>
            </w:r>
            <w:r w:rsidRPr="00A03778">
              <w:rPr>
                <w:sz w:val="20"/>
              </w:rPr>
              <w:t>Swine Center</w:t>
            </w:r>
            <w:r w:rsidR="000C4A9F">
              <w:rPr>
                <w:sz w:val="20"/>
              </w:rPr>
              <w:t>/</w:t>
            </w:r>
            <w:r w:rsidR="000B01A1">
              <w:rPr>
                <w:sz w:val="20"/>
              </w:rPr>
              <w:t xml:space="preserve">  </w:t>
            </w:r>
            <w:r w:rsidRPr="00A03778">
              <w:rPr>
                <w:sz w:val="20"/>
              </w:rPr>
              <w:t>Moore Farm</w:t>
            </w:r>
            <w:r w:rsidR="000C4A9F">
              <w:rPr>
                <w:sz w:val="20"/>
              </w:rPr>
              <w:t>/</w:t>
            </w:r>
            <w:r w:rsidR="000B01A1">
              <w:rPr>
                <w:sz w:val="20"/>
              </w:rPr>
              <w:t xml:space="preserve">    </w:t>
            </w:r>
            <w:r w:rsidRPr="00A03778">
              <w:rPr>
                <w:sz w:val="20"/>
              </w:rPr>
              <w:t>Sheep Center</w:t>
            </w:r>
            <w:r w:rsidR="000C4A9F">
              <w:rPr>
                <w:sz w:val="20"/>
              </w:rPr>
              <w:t>/</w:t>
            </w:r>
            <w:r w:rsidR="000B01A1">
              <w:rPr>
                <w:sz w:val="20"/>
              </w:rPr>
              <w:t xml:space="preserve">    </w:t>
            </w:r>
            <w:r w:rsidRPr="00A03778">
              <w:rPr>
                <w:sz w:val="20"/>
              </w:rPr>
              <w:t>Mare Center</w:t>
            </w:r>
            <w:r w:rsidR="000C4A9F">
              <w:rPr>
                <w:sz w:val="20"/>
              </w:rPr>
              <w:t>/</w:t>
            </w:r>
            <w:r w:rsidR="000B01A1">
              <w:rPr>
                <w:sz w:val="20"/>
              </w:rPr>
              <w:t xml:space="preserve">       </w:t>
            </w:r>
            <w:r w:rsidRPr="00A03778">
              <w:rPr>
                <w:sz w:val="20"/>
              </w:rPr>
              <w:t>Beef Cattle</w:t>
            </w:r>
          </w:p>
          <w:p w14:paraId="26CE4826" w14:textId="3D2ACD3D" w:rsidR="00E173FE" w:rsidRPr="00A03778" w:rsidRDefault="00E173FE" w:rsidP="008A13CC">
            <w:pPr>
              <w:ind w:left="-90"/>
              <w:rPr>
                <w:sz w:val="20"/>
              </w:rPr>
            </w:pPr>
            <w:r w:rsidRPr="00A03778">
              <w:rPr>
                <w:sz w:val="20"/>
              </w:rPr>
              <w:t>Poultry/Turkey</w:t>
            </w:r>
            <w:r w:rsidR="000C4A9F">
              <w:rPr>
                <w:sz w:val="20"/>
              </w:rPr>
              <w:t>/</w:t>
            </w:r>
          </w:p>
          <w:p w14:paraId="455AD72F" w14:textId="736D4047" w:rsidR="00E173FE" w:rsidRDefault="00E173FE" w:rsidP="008A13CC">
            <w:pPr>
              <w:ind w:left="-90"/>
              <w:rPr>
                <w:sz w:val="20"/>
              </w:rPr>
            </w:pPr>
            <w:r w:rsidRPr="00A03778">
              <w:rPr>
                <w:sz w:val="20"/>
              </w:rPr>
              <w:t xml:space="preserve">Bear </w:t>
            </w:r>
            <w:r w:rsidR="000B01A1">
              <w:rPr>
                <w:sz w:val="20"/>
              </w:rPr>
              <w:t>C</w:t>
            </w:r>
            <w:r w:rsidRPr="00A03778">
              <w:rPr>
                <w:sz w:val="20"/>
              </w:rPr>
              <w:t>enter</w:t>
            </w:r>
            <w:r w:rsidR="000C4A9F">
              <w:rPr>
                <w:sz w:val="20"/>
              </w:rPr>
              <w:t>/</w:t>
            </w:r>
            <w:r w:rsidR="000B01A1">
              <w:rPr>
                <w:sz w:val="20"/>
              </w:rPr>
              <w:t xml:space="preserve"> </w:t>
            </w:r>
            <w:r w:rsidRPr="00A03778">
              <w:rPr>
                <w:sz w:val="20"/>
              </w:rPr>
              <w:t>Aquaculture</w:t>
            </w:r>
            <w:r w:rsidR="000B01A1">
              <w:rPr>
                <w:sz w:val="20"/>
              </w:rPr>
              <w:t>/</w:t>
            </w:r>
          </w:p>
          <w:p w14:paraId="6E2785E7" w14:textId="4147DDA0" w:rsidR="000B01A1" w:rsidRDefault="000B01A1" w:rsidP="008A13CC">
            <w:pPr>
              <w:ind w:left="-90"/>
              <w:rPr>
                <w:sz w:val="20"/>
              </w:rPr>
            </w:pPr>
            <w:r>
              <w:rPr>
                <w:sz w:val="20"/>
              </w:rPr>
              <w:t>ARECSs/</w:t>
            </w:r>
          </w:p>
          <w:p w14:paraId="281F069B" w14:textId="10428397" w:rsidR="000B01A1" w:rsidRPr="00A03778" w:rsidRDefault="000B01A1" w:rsidP="008A13CC">
            <w:pPr>
              <w:ind w:left="-90"/>
              <w:rPr>
                <w:sz w:val="20"/>
              </w:rPr>
            </w:pPr>
            <w:r>
              <w:rPr>
                <w:sz w:val="20"/>
              </w:rPr>
              <w:t>EMC</w:t>
            </w:r>
          </w:p>
        </w:tc>
        <w:tc>
          <w:tcPr>
            <w:tcW w:w="2430" w:type="dxa"/>
            <w:tcMar>
              <w:top w:w="14" w:type="dxa"/>
              <w:left w:w="115" w:type="dxa"/>
              <w:right w:w="115" w:type="dxa"/>
            </w:tcMar>
            <w:vAlign w:val="center"/>
          </w:tcPr>
          <w:p w14:paraId="494D2261" w14:textId="77777777" w:rsidR="00E173FE" w:rsidRDefault="00E173FE" w:rsidP="008A13CC">
            <w:pPr>
              <w:ind w:left="-90"/>
              <w:jc w:val="center"/>
            </w:pPr>
            <w:r>
              <w:t>Yes</w:t>
            </w:r>
          </w:p>
        </w:tc>
        <w:tc>
          <w:tcPr>
            <w:tcW w:w="2610" w:type="dxa"/>
            <w:tcMar>
              <w:top w:w="14" w:type="dxa"/>
              <w:left w:w="115" w:type="dxa"/>
              <w:right w:w="115" w:type="dxa"/>
            </w:tcMar>
            <w:vAlign w:val="center"/>
          </w:tcPr>
          <w:p w14:paraId="2F2CB450" w14:textId="77777777" w:rsidR="00E173FE" w:rsidRDefault="00E173FE" w:rsidP="008A13CC">
            <w:pPr>
              <w:ind w:left="-90"/>
              <w:jc w:val="center"/>
            </w:pPr>
            <w:r>
              <w:t>Yes</w:t>
            </w:r>
          </w:p>
        </w:tc>
        <w:tc>
          <w:tcPr>
            <w:tcW w:w="2790" w:type="dxa"/>
            <w:tcMar>
              <w:top w:w="14" w:type="dxa"/>
              <w:left w:w="115" w:type="dxa"/>
              <w:right w:w="115" w:type="dxa"/>
            </w:tcMar>
            <w:vAlign w:val="center"/>
          </w:tcPr>
          <w:p w14:paraId="610E2911" w14:textId="77777777" w:rsidR="00E173FE" w:rsidRDefault="00E173FE" w:rsidP="008A13CC">
            <w:pPr>
              <w:ind w:left="-90"/>
              <w:jc w:val="center"/>
            </w:pPr>
            <w:r>
              <w:t>No</w:t>
            </w:r>
          </w:p>
        </w:tc>
      </w:tr>
    </w:tbl>
    <w:p w14:paraId="28EB49EE" w14:textId="77777777" w:rsidR="00E173FE" w:rsidRDefault="00E173FE" w:rsidP="008A13CC">
      <w:pPr>
        <w:spacing w:before="240" w:after="0" w:line="240" w:lineRule="auto"/>
        <w:ind w:left="-90"/>
      </w:pPr>
      <w:r w:rsidRPr="00922244">
        <w:rPr>
          <w:b/>
          <w:sz w:val="24"/>
        </w:rPr>
        <w:t>*</w:t>
      </w:r>
      <w:r>
        <w:t xml:space="preserve"> </w:t>
      </w:r>
      <w:hyperlink r:id="rId16" w:history="1">
        <w:r w:rsidRPr="00922244">
          <w:rPr>
            <w:rStyle w:val="Hyperlink"/>
          </w:rPr>
          <w:t>Hazard assessment training</w:t>
        </w:r>
      </w:hyperlink>
      <w:r>
        <w:t xml:space="preserve">, available online on the VT EHS website is highly recommended for all faculty conducting animal research. Guidance on conducting hazard assessments is also available </w:t>
      </w:r>
      <w:hyperlink r:id="rId17" w:history="1">
        <w:r w:rsidRPr="00922244">
          <w:rPr>
            <w:rStyle w:val="Hyperlink"/>
          </w:rPr>
          <w:t>online</w:t>
        </w:r>
      </w:hyperlink>
      <w:r>
        <w:t xml:space="preserve">. </w:t>
      </w:r>
    </w:p>
    <w:p w14:paraId="2945F7E4" w14:textId="3EE432A9" w:rsidR="00F60BAB" w:rsidRDefault="00E173FE" w:rsidP="008A13CC">
      <w:pPr>
        <w:ind w:left="-90"/>
      </w:pPr>
      <w:r w:rsidRPr="00DD6404">
        <w:rPr>
          <w:b/>
          <w:sz w:val="24"/>
        </w:rPr>
        <w:t>**</w:t>
      </w:r>
      <w:r>
        <w:rPr>
          <w:b/>
          <w:sz w:val="24"/>
        </w:rPr>
        <w:t xml:space="preserve"> </w:t>
      </w:r>
      <w:r w:rsidRPr="00922244">
        <w:rPr>
          <w:sz w:val="24"/>
        </w:rPr>
        <w:t>In many cases, the Appendix G form</w:t>
      </w:r>
      <w:r>
        <w:rPr>
          <w:sz w:val="24"/>
        </w:rPr>
        <w:t xml:space="preserve"> may also serve as the SOP.</w:t>
      </w:r>
    </w:p>
    <w:sectPr w:rsidR="00F60BAB" w:rsidSect="008A13C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540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DCF43" w14:textId="77777777" w:rsidR="00861F30" w:rsidRDefault="00861F30" w:rsidP="00F21865">
      <w:pPr>
        <w:spacing w:after="0" w:line="240" w:lineRule="auto"/>
      </w:pPr>
      <w:r>
        <w:separator/>
      </w:r>
    </w:p>
  </w:endnote>
  <w:endnote w:type="continuationSeparator" w:id="0">
    <w:p w14:paraId="719D53A7" w14:textId="77777777" w:rsidR="00861F30" w:rsidRDefault="00861F30" w:rsidP="00F2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0BDA3" w14:textId="77777777" w:rsidR="008A13CC" w:rsidRDefault="008A1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0375F" w14:textId="10A87A00" w:rsidR="008A13CC" w:rsidRPr="008A13CC" w:rsidRDefault="008A13CC" w:rsidP="008A13CC">
    <w:pPr>
      <w:pStyle w:val="Footer"/>
    </w:pPr>
    <w:proofErr w:type="gramStart"/>
    <w:r>
      <w:rPr>
        <w:b/>
        <w:bCs/>
      </w:rPr>
      <w:t xml:space="preserve">Page </w:t>
    </w:r>
    <w:bookmarkStart w:id="0" w:name="_GoBack"/>
    <w:bookmarkEnd w:id="0"/>
    <w:proofErr w:type="gramEnd"/>
    <w:r w:rsidRPr="008A13CC">
      <w:rPr>
        <w:b/>
        <w:bCs/>
      </w:rPr>
      <w:fldChar w:fldCharType="begin"/>
    </w:r>
    <w:r w:rsidRPr="008A13CC">
      <w:rPr>
        <w:b/>
        <w:bCs/>
      </w:rPr>
      <w:instrText xml:space="preserve"> PAGE   \* MERGEFORMAT </w:instrText>
    </w:r>
    <w:r w:rsidRPr="008A13CC">
      <w:rPr>
        <w:b/>
        <w:bCs/>
      </w:rPr>
      <w:fldChar w:fldCharType="separate"/>
    </w:r>
    <w:r>
      <w:rPr>
        <w:b/>
        <w:bCs/>
        <w:noProof/>
      </w:rPr>
      <w:t>1</w:t>
    </w:r>
    <w:r w:rsidRPr="008A13CC">
      <w:rPr>
        <w:b/>
        <w:bCs/>
        <w:noProof/>
      </w:rPr>
      <w:fldChar w:fldCharType="end"/>
    </w:r>
    <w:r>
      <w:rPr>
        <w:b/>
        <w:bCs/>
        <w:noProof/>
      </w:rPr>
      <w:t xml:space="preserve"> of 2</w:t>
    </w:r>
    <w:r>
      <w:rPr>
        <w:b/>
        <w:bCs/>
        <w:noProof/>
      </w:rPr>
      <w:tab/>
    </w:r>
    <w:r>
      <w:rPr>
        <w:b/>
        <w:bCs/>
        <w:noProof/>
      </w:rPr>
      <w:tab/>
    </w:r>
    <w:r>
      <w:rPr>
        <w:b/>
        <w:bCs/>
      </w:rPr>
      <w:t xml:space="preserve">  </w:t>
    </w:r>
    <w:r>
      <w:rPr>
        <w:b/>
        <w:bCs/>
      </w:rPr>
      <w:t>Revised 3/5/2019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61971" w14:textId="77777777" w:rsidR="008A13CC" w:rsidRDefault="008A1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6A6E1" w14:textId="77777777" w:rsidR="00861F30" w:rsidRDefault="00861F30" w:rsidP="00F21865">
      <w:pPr>
        <w:spacing w:after="0" w:line="240" w:lineRule="auto"/>
      </w:pPr>
      <w:r>
        <w:separator/>
      </w:r>
    </w:p>
  </w:footnote>
  <w:footnote w:type="continuationSeparator" w:id="0">
    <w:p w14:paraId="563ADBFD" w14:textId="77777777" w:rsidR="00861F30" w:rsidRDefault="00861F30" w:rsidP="00F2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AA2F7" w14:textId="77777777" w:rsidR="008A13CC" w:rsidRDefault="008A1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3C68" w14:textId="2DD51562" w:rsidR="00F21865" w:rsidRPr="008A13CC" w:rsidRDefault="00A021EB" w:rsidP="008A13CC">
    <w:pPr>
      <w:ind w:left="-360"/>
      <w:rPr>
        <w:b/>
        <w:bCs/>
        <w:sz w:val="24"/>
      </w:rPr>
    </w:pPr>
    <w:r w:rsidRPr="008A13CC">
      <w:rPr>
        <w:b/>
        <w:bCs/>
      </w:rPr>
      <w:t>E</w:t>
    </w:r>
    <w:r w:rsidRPr="008A13CC">
      <w:rPr>
        <w:b/>
        <w:bCs/>
        <w:sz w:val="24"/>
      </w:rPr>
      <w:t>nvironmental Health and Safety’s (EHS) Educational Information for IACUC Appendix G Completion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E9C4F" w14:textId="77777777" w:rsidR="008A13CC" w:rsidRDefault="008A1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32D"/>
    <w:multiLevelType w:val="hybridMultilevel"/>
    <w:tmpl w:val="6156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376E3"/>
    <w:multiLevelType w:val="hybridMultilevel"/>
    <w:tmpl w:val="5CFA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34526"/>
    <w:multiLevelType w:val="hybridMultilevel"/>
    <w:tmpl w:val="DC70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A2"/>
    <w:rsid w:val="00033099"/>
    <w:rsid w:val="000427C9"/>
    <w:rsid w:val="00052F8E"/>
    <w:rsid w:val="00070E49"/>
    <w:rsid w:val="000947A2"/>
    <w:rsid w:val="000B01A1"/>
    <w:rsid w:val="000B29BD"/>
    <w:rsid w:val="000C4A9F"/>
    <w:rsid w:val="000C5E99"/>
    <w:rsid w:val="000E11EC"/>
    <w:rsid w:val="000E487A"/>
    <w:rsid w:val="00160AD7"/>
    <w:rsid w:val="001A33E1"/>
    <w:rsid w:val="001C07CD"/>
    <w:rsid w:val="001D10B9"/>
    <w:rsid w:val="002351D2"/>
    <w:rsid w:val="00237F78"/>
    <w:rsid w:val="00254F5B"/>
    <w:rsid w:val="00264D8A"/>
    <w:rsid w:val="002777A9"/>
    <w:rsid w:val="002D57FE"/>
    <w:rsid w:val="002D5FE6"/>
    <w:rsid w:val="002E4FE5"/>
    <w:rsid w:val="003178A5"/>
    <w:rsid w:val="003238FC"/>
    <w:rsid w:val="0033237E"/>
    <w:rsid w:val="0033603E"/>
    <w:rsid w:val="00382291"/>
    <w:rsid w:val="003F0D8A"/>
    <w:rsid w:val="003F26CB"/>
    <w:rsid w:val="00405365"/>
    <w:rsid w:val="004252D9"/>
    <w:rsid w:val="00447664"/>
    <w:rsid w:val="004615A1"/>
    <w:rsid w:val="00494312"/>
    <w:rsid w:val="004B5D4D"/>
    <w:rsid w:val="004C7AFC"/>
    <w:rsid w:val="00572E85"/>
    <w:rsid w:val="00580F82"/>
    <w:rsid w:val="00585668"/>
    <w:rsid w:val="00595C85"/>
    <w:rsid w:val="005A547A"/>
    <w:rsid w:val="005B67B9"/>
    <w:rsid w:val="005E239D"/>
    <w:rsid w:val="005F5F68"/>
    <w:rsid w:val="006078C0"/>
    <w:rsid w:val="0068064F"/>
    <w:rsid w:val="006826AE"/>
    <w:rsid w:val="00687472"/>
    <w:rsid w:val="00696842"/>
    <w:rsid w:val="006A13EA"/>
    <w:rsid w:val="00712530"/>
    <w:rsid w:val="007139CB"/>
    <w:rsid w:val="007177BD"/>
    <w:rsid w:val="00723DE4"/>
    <w:rsid w:val="00753280"/>
    <w:rsid w:val="00754B72"/>
    <w:rsid w:val="007632DD"/>
    <w:rsid w:val="007777FE"/>
    <w:rsid w:val="00790A74"/>
    <w:rsid w:val="00795C87"/>
    <w:rsid w:val="00813A03"/>
    <w:rsid w:val="0086075A"/>
    <w:rsid w:val="00861F30"/>
    <w:rsid w:val="008907BD"/>
    <w:rsid w:val="008A13CC"/>
    <w:rsid w:val="008B0647"/>
    <w:rsid w:val="008B4D62"/>
    <w:rsid w:val="008C5DD1"/>
    <w:rsid w:val="008C7D6F"/>
    <w:rsid w:val="008D2FEC"/>
    <w:rsid w:val="008D3E8D"/>
    <w:rsid w:val="008E5538"/>
    <w:rsid w:val="008E7934"/>
    <w:rsid w:val="009473A5"/>
    <w:rsid w:val="009608E8"/>
    <w:rsid w:val="00971968"/>
    <w:rsid w:val="009864FE"/>
    <w:rsid w:val="009A0882"/>
    <w:rsid w:val="009B2158"/>
    <w:rsid w:val="009B78AA"/>
    <w:rsid w:val="009C2741"/>
    <w:rsid w:val="009D2EC3"/>
    <w:rsid w:val="00A021EB"/>
    <w:rsid w:val="00A03778"/>
    <w:rsid w:val="00A20753"/>
    <w:rsid w:val="00A602AC"/>
    <w:rsid w:val="00A66096"/>
    <w:rsid w:val="00A770F5"/>
    <w:rsid w:val="00A8785F"/>
    <w:rsid w:val="00A915B2"/>
    <w:rsid w:val="00A9715E"/>
    <w:rsid w:val="00A97C83"/>
    <w:rsid w:val="00AE5CC7"/>
    <w:rsid w:val="00B05460"/>
    <w:rsid w:val="00B14991"/>
    <w:rsid w:val="00B37E37"/>
    <w:rsid w:val="00B85302"/>
    <w:rsid w:val="00B86CFC"/>
    <w:rsid w:val="00BC0295"/>
    <w:rsid w:val="00BC0F2A"/>
    <w:rsid w:val="00C05962"/>
    <w:rsid w:val="00C06771"/>
    <w:rsid w:val="00C13E35"/>
    <w:rsid w:val="00C2767F"/>
    <w:rsid w:val="00C302FF"/>
    <w:rsid w:val="00C35D2C"/>
    <w:rsid w:val="00C82878"/>
    <w:rsid w:val="00C83AB1"/>
    <w:rsid w:val="00C8573E"/>
    <w:rsid w:val="00D2021C"/>
    <w:rsid w:val="00D57239"/>
    <w:rsid w:val="00D75D92"/>
    <w:rsid w:val="00D806F8"/>
    <w:rsid w:val="00D87DFB"/>
    <w:rsid w:val="00D94A31"/>
    <w:rsid w:val="00DA3CCD"/>
    <w:rsid w:val="00E16BA6"/>
    <w:rsid w:val="00E173FE"/>
    <w:rsid w:val="00E619B7"/>
    <w:rsid w:val="00E72985"/>
    <w:rsid w:val="00E81D72"/>
    <w:rsid w:val="00EB7998"/>
    <w:rsid w:val="00EC59C4"/>
    <w:rsid w:val="00EE7538"/>
    <w:rsid w:val="00EF6003"/>
    <w:rsid w:val="00F01F23"/>
    <w:rsid w:val="00F21865"/>
    <w:rsid w:val="00F24B10"/>
    <w:rsid w:val="00F60BAB"/>
    <w:rsid w:val="00F776A3"/>
    <w:rsid w:val="00F857B8"/>
    <w:rsid w:val="00F92593"/>
    <w:rsid w:val="00FB03F0"/>
    <w:rsid w:val="00FC0D55"/>
    <w:rsid w:val="00F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822C173"/>
  <w15:chartTrackingRefBased/>
  <w15:docId w15:val="{10A335CA-5755-45D3-B22B-611A553D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65"/>
  </w:style>
  <w:style w:type="paragraph" w:styleId="Footer">
    <w:name w:val="footer"/>
    <w:basedOn w:val="Normal"/>
    <w:link w:val="FooterChar"/>
    <w:uiPriority w:val="99"/>
    <w:unhideWhenUsed/>
    <w:rsid w:val="00F2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65"/>
  </w:style>
  <w:style w:type="character" w:styleId="Hyperlink">
    <w:name w:val="Hyperlink"/>
    <w:basedOn w:val="DefaultParagraphFont"/>
    <w:uiPriority w:val="99"/>
    <w:unhideWhenUsed/>
    <w:rsid w:val="00754B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F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FC"/>
    <w:rPr>
      <w:rFonts w:ascii="Times New Roman" w:hAnsi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3DE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73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1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dsg/hazcom/index.html" TargetMode="External"/><Relationship Id="rId13" Type="http://schemas.openxmlformats.org/officeDocument/2006/relationships/hyperlink" Target="https://www.ehss.vt.edu/detail_pages/document_details.php?s_document_title=chemicals+in+animals+chart&amp;document_id=6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hss.vt.edu/detail_pages/document_details.php?s_document_title=Flow&amp;document_id=615" TargetMode="External"/><Relationship Id="rId17" Type="http://schemas.openxmlformats.org/officeDocument/2006/relationships/hyperlink" Target="https://www.ehss.vt.edu/programs/haz_assess_intro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hss.vt.edu/detail_pages/training_details.php?training_id=447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ss.vt.edu/uploaded_docs/201710021119450.Guidelines%20Safety%20Research%20and%20Education%20Revision%201.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hss.vt.edu/programs/haz_assess_intro.php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ehss.vt.edu/uploaded_docs/201710021119450.Guidelines%20Safety%20Research%20and%20Education%20Revision%201.1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olicies.vt.edu/1005.pdf" TargetMode="External"/><Relationship Id="rId14" Type="http://schemas.openxmlformats.org/officeDocument/2006/relationships/hyperlink" Target="https://www.ehss.vt.edu/detail_pages/document_details.php?s_document_title=SDS&amp;document_id=531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B08C9-59F5-4644-BA13-9B7DD2B7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837</Words>
  <Characters>4843</Characters>
  <Application>Microsoft Office Word</Application>
  <DocSecurity>0</DocSecurity>
  <Lines>93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Wakley</dc:creator>
  <cp:keywords/>
  <dc:description/>
  <cp:lastModifiedBy>Layman, Rachel</cp:lastModifiedBy>
  <cp:revision>15</cp:revision>
  <cp:lastPrinted>2019-01-09T16:40:00Z</cp:lastPrinted>
  <dcterms:created xsi:type="dcterms:W3CDTF">2019-01-08T13:31:00Z</dcterms:created>
  <dcterms:modified xsi:type="dcterms:W3CDTF">2019-03-06T20:39:00Z</dcterms:modified>
</cp:coreProperties>
</file>